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ALEGACIONES A REQUERIMIENTO DE EXTRANJERÍA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que dictó el requerimiento,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Escrito de alegaciones y aportación documental tras requerimiento administrativo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artículos 68 y 69 de la Ley 39/2015 y artículo 89 del Real Decreto 557/2011,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 fecha {{FECHA_REQUERIMIENTO}} se recibió requerimiento para {{OBJETO_REQUERIMIENTO}}, con plazo de subsanación hasta {{FECHA_LIMITE_SUBSANACION}}.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artículos 68 y 69 de la Ley 39/2015 y artículo 89 del Real Decreto 557/2011,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formulan las siguientes alegaciones y se aporta documentación solicitada: {{ALEGACIONES_Y_DOCUMENTACION}}.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alegaciones a requerimiento de extranjería</dc:title>
</cp:coreProperties>
</file>