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ALEGACIONES A REQUERIMIENTO DE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que dictó el requerimiento,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Escrito de alegaciones y aportación documental tras requerimiento administrativo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68 y 69 de la Ley 39/2015 y artículo 89 del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 fecha {{FECHA_REQUERIMIENTO}} se recibió requerimiento para {{OBJETO_REQUERIMIENTO}}, con plazo de subsanación hasta {{FECHA_LIMITE_SUBSANACION}}.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68 y 69 de la Ley 39/2015 y artículo 89 del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formulan las siguientes alegaciones y se aporta documentación solicitada: {{ALEGACIONES_Y_DOCUMENTACION}}.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alegaciones a requerimiento de extranjería</dc:title>
</cp:coreProperties>
</file>