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COMUNICACIÓN DE PARALIZACIÓN DE OBRA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38/1999, de 17 de noviembre, de Ordenación de la Edificación (LOE); Real Decreto 1627/1997, de 8 de octubre, sobre disposiciones mínimas de seguridad y salud en obras de construcción; Código Civil (arts. 1544 a 1581, contrato de obra); Real Decreto 314/2006 (Código Técnico de la Edificación).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{{NOMBRE_REMITENTE}}, con DNI/NIF {{DNI_REMITENTE}}, domicilio en {{DOMICILIO_REMITENTE}}, correo {{EMAIL_REMITENTE}}, teléfono {{TELEFONO_REMITENTE}}.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{{NOMBRE_DESTINATARIO}}, {{CARGO_DESTINATARIO}}, {{DOMICILIO_DESTINATARIO}}.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Comunicación fehaciente de paralización temporal o definitiva de los trabajos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REFERENCIA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Obra: {{DENOMINACION_OBRA}} en {{DIRECCION_OBRA}}. Contrato de {{FECHA_CONTRATO}}. Contratista: {{NOMBRE_CONTRATISTA}}.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Desde {{FECHA_SITUACION}} concurre la situación: {{MOTIVO_PARALIZACION}} (impago / falta de licencia / riesgo grave / fuerza mayor).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Art. 1124 CC (incumplimiento grave), cláusula {{CLAUSULA_CONTRATO}} del contrato y RD 1627/1997 en materia de seguridad cuando exista riesgo.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DECISIÓN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comunica paralización {{MODALIDAD_PARALIZACION}} (temporal / definitiva) con efectos desde {{FECHA_EFECTOS}} hasta {{FECHA_REANUDACION}} o resolución.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OBLIGACIONES EN PARALIZACIÓN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Retirada parcial de medios, mantenimiento de protecciones, cierre de accesos y actualización del plan de seguridad.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CONSECUENCIAS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 devengarán certificaciones durante la paralización imputable a {{PARTE_IMPUTABLE}}. Gastos de replanteo: {{GASTOS_REPLANTEO}}.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REANUDACIÓN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Condiciones para reanudar: {{CONDICIONES_REANUDACION}}. Plazo máximo de respuesta: {{PLAZO_RESPUESTA}} días.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ADJUNTA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{{DOCUMENTOS_ADJUNTOS}}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se tratarán para la gestión del expediente de obra conforme al RGPD (arts. 6.1.b y 6.1.c).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REMITENTE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comunicación de paralización de obra</dc:title>
</cp:coreProperties>
</file>