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RECLAMACIÓN POR RUIDOS, MOLESTIAS Y CONVIVENCIA VECINAL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Comunicación entre propietarios o usuarios de la finca por incumplimiento de normas de convivencia, estatutos y ordenanzas municipales.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{{NOMBRE_RECLAMANTE}}, con DNI/NIE {{DNI_RECLAMANTE}}, propietario/a o arrendatario/a de la vivienda {{VIVIENDA_RECLAMANTE}}, en {{DIRECCION_EDIFICIO}}, teléfono {{TELEFONO_RECLAMANTE}}, correo {{EMAIL_RECLAMANTE}}.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{{NOMBRE_DESTINATARIO}}, propietario/a, arrendatario/a o usuario/a de la vivienda {{VIVIENDA_DESTINATARIO}}, en el mismo edificio.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la presente se formula reclamación formal por ruidos, vibraciones, olores, humos u otras molestias que perturben el descanso, la salud y la convivencia de los restantes ocupantes de la finca.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hechos objeto de reclamación son los siguientes: {{DESCRIPCION_HECHOS}}.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Fechas y horarios en que se han producido: {{FECHAS_HORARIOS}}. Duración aproximada de cada incidencia: {{DURACION_INCIDENCIA}}. Número de vecinos afectados, en su caso: {{VECINOS_AFECTADOS}}.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han realizado, en su caso, los siguientes intentos previos de solución amistosa: {{INTENTOS_PREVIOS}}.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conducta descrita puede resultar contraria a: (a) los estatutos de la comunidad, especialmente su artículo {{ARTICULO_ESTATUTOS}}; (b) el régimen de convivencia interno aprobado; (c) la ordenanza municipal de protección contra la contaminación acústica de {{AYUNTAMIENTO}}; y (d) el deber de no causar molestias a terceros (artículo 7.2 LPH y Código Civil).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al destinatario que, de forma inmediata: (1) cese en la conducta molesta; (2) respete el horario de silencio y descanso de {{HORARIO_SILENCIO}}; (3) adopte las medidas razonables para evitar la reiteración (limitación de volumen, uso de aislamiento, control de invitados, etc.): {{MEDIDAS_SOLICITADAS}}.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COMUNICACIÓN A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persistir la situación en el plazo de {{PLAZO_CESION}} días, el reclamante trasladará los hechos a la presidencia y administración de la comunidad, así como, en su caso, a la autoridad municipal o autonómica competente en materia de ruidos: {{AUTORIDAD_COMPETENTE}}.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deja expresa constancia de que esta carta tiene carácter de requerimiento previo a otras actuaciones, sin perjuicio del derecho del reclamante a ejercitar las acciones que correspondan.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reclamante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Copia a la Administración de fincas: {{ENVIO_COPIA_ADMINISTRACION}} (sí / no). Copia a la Presidencia: {{ENVIO_COPIA_PRESIDENCIA}} (sí / no).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reclamación por ruidos y molestias</dc:title>
</cp:coreProperties>
</file>