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RECLAMACIÓN POR SILENCIO ADMINISTRATIVO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registro donde se presentó,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Reclamación por silencio administrativo positivo o negativo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30 y 32 de la Ley 39/2015,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solicitud de {{OBJETO_SOLICITUD}} se presentó el {{FECHA_PRESENTACION}} y ha transcurrido el plazo máximo sin resolución expresa.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30 y 32 de la Ley 39/2015,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reclama la declaración de silencio administrativo {{SILENCIO_POSITIVO_O_NEGATIVO}} y, en su caso, el expediente de la resolución presunta.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reclamación por silencio administrativo en extranjería</dc:title>
</cp:coreProperties>
</file>