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RECLAMACIÓN POR SILENCIO ADMINISTRATIVO EN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o registro donde se presentó,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Reclamación por silencio administrativo positivo o negativo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30 y 32 de la Ley 39/2015,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solicitud de {{OBJETO_SOLICITUD}} se presentó el {{FECHA_PRESENTACION}} y ha transcurrido el plazo máximo sin resolución expresa.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30 y 32 de la Ley 39/2015,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reclama la declaración de silencio administrativo {{SILENCIO_POSITIVO_O_NEGATIVO}} y, en su caso, el expediente de la resolución presunta.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reclamación por silencio administrativo en extranjería</dc:title>
</cp:coreProperties>
</file>