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RECURSO DE ALZADA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Superior jerárquico del órgano que dictó el acto,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Recurso administrativo de alzada contra resolución en materia de extranjería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121 y 122 de la Ley 39/2015,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recurre en alzada la resolución de fecha {{FECHA_RESOLUCION}}, solicitando su anulación o revisión por {{MOTIVOS_ALZADA}}.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121 y 122 de la Ley 39/2015,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admisión del recurso de alzada y la suspensión de la ejecución si procede conforme a derecho.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recurso de alzada en extranjería</dc:title>
</cp:coreProperties>
</file>