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RENUNCIA A DERECHOS EN TRÁMITE DE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competente,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Renuncia expresa a derechos o efectos de autorización en vía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94 y 95 de la Ley 39/2015 y normativa de extranjería,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interesada renuncia expresamente a {{DERECHO_O_EFECTO_RENUNCIADO}} derivado del expediente {{NUMERO_EXPEDIENTE}}.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94 y 95 de la Ley 39/2015 y normativa de extranjería,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que conste la renuncia en el expediente y se produzcan los efectos administrativos correspondientes.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renuncia a derechos en trámite de extranjería</dc:title>
</cp:coreProperties>
</file>