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REQUERIMIENTO DE CUOTAS Y DERRAMAS IMPAGADAS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Requerimiento fehaciente de pago conforme a la Ley 49/1960, de Propiedad Horizontal, los estatutos, el presupuesto aprobado y los acuerdos de junta.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Comunidad de propietarios {{NOMBRE_COMUNIDAD}}, CIF {{CIF_COMUNIDAD}}, domicilio {{DIRECCION_COMUNIDAD}}, administrada por {{NOMBRE_ADMINISTRADOR}}, administrador/a de fincas.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{{NOMBRE_PROPIETARIO}}, propietario/a de la vivienda, local o plaza de garaje {{REFERENCIA_VIVIENDA}}, con coeficiente de participación de {{COEFICIENTE}}%.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REFERENCIA DEL INMUEBLE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Finca sita en {{DIRECCION_EDIFICIO}}, portal {{PORTAL}}, planta {{PLANTA}}, puerta {{PUERTA}}. Referencia catastral, en su caso: {{REF_CATASTRAL}}.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 LA COMUNICACIÓN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la presente, la comunidad requiere al destinatario el pago de las cantidades adeudadas en concepto de cuotas ordinarias de gastos comunes, derramas extraordinarias, fondo de reserva u otros conceptos aprobados en junta, cuyo impago genera perjuicio a la comunidad y a los demás propietarios.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CANTIDADES ADEUDADAS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Cuotas ordinarias impagadas (periodo {{PERIODO_ORDINARIAS}}): {{CUOTAS_ORDINARIAS}} euros.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Derramas extraordinarias (acuerdo de junta de {{FECHA_DERRAMA}}): {{DERRAMAS_EXTRAORDINARIAS}} euros.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Intereses de demora o recargos previstos en estatutos/acuerdo: {{INTERESES}} euros.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Otros conceptos (suministros individualizados, sanciones, etc.): {{OTROS_CONCEPTOS}} euros.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TOTAL ADEUDADO: {{TOTAL_ADEUDADO}} euros ({{TOTAL_ADEUDADO_LETRAS}}). Desglose detallado: {{DETALLE_DEUDA}}.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devengo de las cantidades reclamadas se fundamenta en el artículo 9 LPH, el presupuesto aprobado en junta de {{FECHA_PRESUPUESTO}}, y el acuerdo de derrama de {{FECHA_ACUERDO_DERRAMA}}, en su caso. La comunidad tiene acción directa contra el propietario para exigir el pago de las deudas vencidas (artículo 21 LPH).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DE PAGO Y CONSECUENCIAS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concede un plazo de {{PLAZO_PAGO}} días naturales desde la recepción de este requerimiento para abonar el total adeudado sin necesidad de ulterior reclamación.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Transcurrido dicho plazo sin pago íntegro, la comunidad podrá: (a) iniciar reclamación judicial monitoria o ordinaria; (b) solicitar el embargo o anotación preventiva de demanda conforme a la legislación procesal; (c) aplicar las medidas previstas en los estatutos; y (d) reclamar intereses, costas y gastos de gestión.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FORMA DE ABONO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pago deberá realizarse mediante transferencia bancaria al IBAN {{IBAN_COMUNIDAD}}, titular {{TITULAR_CUENTA}}, indicando en el concepto: {{CONCEPTO_PAGO}}. Envíe justificante a {{EMAIL_ADMINISTRACION}}.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FORMA DE NOTIFICACIÓN Y RECEPCIÓN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Esta comunicación se entrega por {{MEDIO_NOTIFICACION}} (burofax / correo certificado / entrega en mano / correo electrónico fehaciente).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Administración de fincas / La Presidencia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OBSERVACIONES: {{OBSERVACIONES}}.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requerimiento de cuotas impagadas</dc:title>
</cp:coreProperties>
</file>