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REQUERIMIENTO DE CUOTAS Y DERRAMAS IMPAGADAS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Requerimiento fehaciente de pago conforme a la Ley 49/1960, de Propiedad Horizontal, los estatutos, el presupuesto aprobado y los acuerdos de junta.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Comunidad de propietarios {{NOMBRE_COMUNIDAD}}, CIF {{CIF_COMUNIDAD}}, domicilio {{DIRECCION_COMUNIDAD}}, administrada por {{NOMBRE_ADMINISTRADOR}}, administrador/a de fincas.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{{NOMBRE_PROPIETARIO}}, propietario/a de la vivienda, local o plaza de garaje {{REFERENCIA_VIVIENDA}}, con coeficiente de participación de {{COEFICIENTE}}%.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DEL INMUEBLE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Finca sita en {{DIRECCION_EDIFICIO}}, portal {{PORTAL}}, planta {{PLANTA}}, puerta {{PUERTA}}. Referencia catastral, en su caso: {{REF_CATASTRAL}}.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COMUNICACIÓN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la presente, la comunidad requiere al destinatario el pago de las cantidades adeudadas en concepto de cuotas ordinarias de gastos comunes, derramas extraordinarias, fondo de reserva u otros conceptos aprobados en junta, cuyo impago genera perjuicio a la comunidad y a los demás propietarios.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CANTIDADES ADEUDADAS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Cuotas ordinarias impagadas (periodo {{PERIODO_ORDINARIAS}}): {{CUOTAS_ORDINARIAS}}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Derramas extraordinarias (acuerdo de junta de {{FECHA_DERRAMA}}): {{DERRAMAS_EXTRAORDINARIAS}}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Intereses de demora o recargos previstos en estatutos/acuerdo: {{INTERESES}}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Otros conceptos (suministros individualizados, sanciones, etc.): {{OTROS_CONCEPTOS}} euros.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ADEUDADO: {{TOTAL_ADEUDADO}} euros ({{TOTAL_ADEUDADO_LETRAS}}). Desglose detallado: {{DETALLE_DEUDA}}.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devengo de las cantidades reclamadas se fundamenta en el artículo 9 LPH, el presupuesto aprobado en junta de {{FECHA_PRESUPUESTO}}, y el acuerdo de derrama de {{FECHA_ACUERDO_DERRAMA}}, en su caso. La comunidad tiene acción directa contra el propietario para exigir el pago de las deudas vencidas (artículo 21 LPH).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DE PAGO Y CONSECUENCIAS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concede un plazo de {{PLAZO_PAGO}} días naturales desde la recepción de este requerimiento para abonar el total adeudado sin necesidad de ulterior reclamación.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Transcurrido dicho plazo sin pago íntegro, la comunidad podrá: (a) iniciar reclamación judicial monitoria o ordinaria; (b) solicitar el embargo o anotación preventiva de demanda conforme a la legislación procesal; (c) aplicar las medidas previstas en los estatutos; y (d) reclamar intereses, costas y gastos de gestión.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ABONO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pago deberá realizarse mediante transferencia bancaria al IBAN {{IBAN_COMUNIDAD}}, titular {{TITULAR_CUENTA}}, indicando en el concepto: {{CONCEPTO_PAGO}}. Envíe justificante a {{EMAIL_ADMINISTRACION}}.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 comunicación se entrega por {{MEDIO_NOTIFICACION}} (burofax / correo certificado / entrega en mano / correo electrónico fehaciente).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Administración de fincas / La Presidencia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requerimiento de cuotas impagadas</dc:title>
</cp:coreProperties>
</file>