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ARRAIGO LABORAL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competente,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autorización de residencia temporal por arraigo laboral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 124 del Real Decreto 557/2011,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Consta relación laboral de {{MESES_TRABAJO}} meses con {{NUMERO_EMPLEADORES}} empleador(es), conforme a vida laboral y contratos aportados.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 124 del Real Decreto 557/2011,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autorización de residencia por arraigo laboral con acreditación de actividad laboral y empadronamiento.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arraigo laboral</dc:title>
</cp:coreProperties>
</file>