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TRABAJO POR CUENTA AJENA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ventanilla única,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trabajo por cuenta ajena para extranjero en situación de estancia o residencia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40 y 41 de la Ley Orgánica 4/2000 y normativa de autorizaciones de trabajo,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{{NOMBRE_EMPRESA}} ofrece contrato conforme a {{CONVENIO_COLECTIVO}}, con jornada {{JORNADA}} y salario {{SALARIO}}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40 y 41 de la Ley Orgánica 4/2000 y normativa de autorizaciones de trabajo,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autorización de trabajo por cuenta ajena asociada a la situación administrativa actual {{SITUACION_ACTUAL}}.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trabajo por cuenta ajena</dc:title>
</cp:coreProperties>
</file>