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MODIFICACIÓN DE SITUACIÓN ADMINISTRATIV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modificación de autorización de estancia o residencia a otra disti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192 del Real Decreto 557/2011 y normativa de modificaciones de situación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situación actual es {{SITUACION_ACTUAL}} y se solicita pasar a {{NUEVA_SITUACION}} por haber sobrevenido las circunstancias: {{CIRCUNSTANCIAS_MODIFIC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192 del Real Decreto 557/2011 y normativa de modificaciones de situación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modificación de situación administrativa sin necesidad de visado previo, conforme a los requisitos de la nueva autoriz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modificación de situación administrativa</dc:title>
</cp:coreProperties>
</file>