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MODIFICACIÓN DE SITUACIÓN ADMINISTRATIV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modificación de autorización de estancia o residencia a otra distin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92 del Real Decreto 557/2011 y normativa de modificaciones de situación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situación actual es {{SITUACION_ACTUAL}} y se solicita pasar a {{NUEVA_SITUACION}} por haber sobrevenido las circunstancias: {{CIRCUNSTANCIAS_MODIFIC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92 del Real Decreto 557/2011 y normativa de modificaciones de situación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modificación de situación administrativa sin necesidad de visado previo, conforme a los requisitos de la nueva autoriz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modificación de situación administrativa</dc:title>
</cp:coreProperties>
</file>