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NACIONALIDAD POR CARTA DE NATURALEZA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Ministerio de Justicia,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informativa o de inicio de expediente de nacionalidad por carta de naturaleza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21 del Código Civil y normativa de concesión discrecional de nacionalidad,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solicitante alega circunstancias excepcionales de arraigo, servicios o interés público: {{CIRCUNSTANCIAS_EXCEPCIONALES}}.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21 del Código Civil y normativa de concesión discrecional de nacionalidad,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la consideración del expediente de nacionalidad por carta de naturaleza o concesión discrecional del Gobierno.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nacionalidad por carta de naturaleza</dc:title>
</cp:coreProperties>
</file>