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RENOVACIÓN DE AUTORIZACIÓN DE RESIDENCIA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renovación de autorización de residencia temporal o larga duración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49 y siguientes de la Ley Orgánica 4/2000 y artículo 30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autorización de residencia actual vence el {{FECHA_CADUCIDAD_AUTORIZACION}}. Se mantienen las circunstancias que motivaron su concesión: {{CIRCUNSTANCIAS_SUBSISTENTES}}.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49 y siguientes de la Ley Orgánica 4/2000 y artículo 30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la renovación de la autorización de {{TIPO_AUTORIZACION}} por un nuevo periodo, aportando medios económicos, seguro, empadronamiento y demás requisitos exigibles.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renovación de autorización de residencia</dc:title>
</cp:coreProperties>
</file>