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PARA INVERSIÓN (GOLDEN VISA)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de la provincia donde se formalizó la inversión o residencia,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por inversión de capital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63 bis de la Ley Orgánica 4/2000 y artículos 64 a 67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 realizado inversión significativa en {{MODALIDAD_INVERSION}} por importe de {{IMPORTE_INVERSION}} EUR, conforme a requisitos del artículo 63 bis LOEX.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63 bis de la Ley Orgánica 4/2000 y artículos 64 a 67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temporal para inversores, aportando prueba de inversión, seguro médico y carencia de antecedentes penales.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para inversión (golden visa)</dc:title>
</cp:coreProperties>
</file>