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RESIDENCIA PARA INVERSIÓN (GOLDEN VISA)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de la provincia donde se formalizó la inversión o residencia,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temporal por inversión de capital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63 bis de la Ley Orgánica 4/2000 y artículos 64 a 67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ha realizado inversión significativa en {{MODALIDAD_INVERSION}} por importe de {{IMPORTE_INVERSION}} EUR, conforme a requisitos del artículo 63 bis LOEX.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63 bis de la Ley Orgánica 4/2000 y artículos 64 a 67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residencia temporal para inversores, aportando prueba de inversión, seguro médico y carencia de antecedentes penales.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residencia para inversión (golden visa)</dc:title>
</cp:coreProperties>
</file>