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RESIDENCIA DE LARGA DURACIÓN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de la provincia de residencia habitual,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residencia de larga duración o larga duración-UE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32 y 32 bis de la Ley Orgánica 4/2000 y artículos 124 a 130 del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solicitante acredita residencia legal y continuada en España durante {{ANOS_RESIDENCIA_LEGAL}} años, sin ausencias relevantes: {{DETALLE_AUSENCIAS}}.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32 y 32 bis de la Ley Orgánica 4/2000 y artículos 124 a 130 del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el reconocimiento de la condición de residencia de larga duración, nacional o UE, conforme a la modalidad {{MODALIDAD_LARGA_DURACION}}.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residencia de larga duración</dc:title>
</cp:coreProperties>
</file>