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RESIDENCIA Y TRABAJO POR CUENTA AJEN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o ventanilla única de inmigración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inicial de residencia temporal y trabajo por cuenta ajen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40 y 41 de la Ley Orgánica 4/2000 y artículos 71 a 77 del Real Decreto 557/2011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iste oferta de empleo o contrato con la empresa {{NOMBRE_EMPRESA}}, CIF {{CIF_EMPRESA}}, puesto {{PUESTO_OFERTADO}}, retribución {{SALARIO_BRUTO_ANUAL}} EUR anual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40 y 41 de la Ley Orgánica 4/2000 y artículos 71 a 77 del Real Decreto 557/2011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utorización de residencia temporal y trabajo por cuenta ajena, inicial o en situación de {{SITUACION_SOLICITU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residencia y trabajo por cuenta ajena</dc:title>
</cp:coreProperties>
</file>