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RESIDENCIA Y TRABAJO POR CUENTA AJEN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o ventanilla única de inmigración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inicial de residencia temporal y trabajo por cuenta ajen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40 y 41 de la Ley Orgánica 4/2000 y artículos 71 a 77 del Real Decreto 557/2011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xiste oferta de empleo o contrato con la empresa {{NOMBRE_EMPRESA}}, CIF {{CIF_EMPRESA}}, puesto {{PUESTO_OFERTADO}}, retribución {{SALARIO_BRUTO_ANUAL}} EUR anual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40 y 41 de la Ley Orgánica 4/2000 y artículos 71 a 77 del Real Decreto 557/2011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utorización de residencia temporal y trabajo por cuenta ajena, inicial o en situación de {{SITUACION_SOLICITU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residencia y trabajo por cuenta ajena</dc:title>
</cp:coreProperties>
</file>