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CONTRATO DE ALOJAMIENTO TEMPORAL PARA PERSONA EXTRANJERA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REUNIDOS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una parte, {{PARTE_A_DENOMINACION}}, con NIF/CIF {{NIF_PARTE_A}}, domicilio en {{DOMICILIO_PARTE_A}}, representada por D./Dña. {{REPRESENTANTE_A}}, DNI/NIE {{DNI_REPRESENTANTE_A}}, cargo {{CARGO_REPRESENTANTE_A}}.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otra parte, {{PARTE_B_DENOMINACION}}, con NIF/CIF/NIE {{NIF_PARTE_B}}, domicilio en {{DOMICILIO_PARTE_B}}, representada por D./Dña. {{REPRESENTANTE_B}}, DNI/NIE {{DNI_REPRESENTANTE_B}}, cargo {{CARGO_REPRESENTANTE_B}}.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Ambas partes se reconocen capacidad y, en su caso, representación suficiente, y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EXPONEN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I. Que la parte contratante necesita facilitar alojamiento temporal declarable ante la Administración para fines de empadronamiento, arraigo o residencia.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II. Que el prestador declara disponer de la experiencia, medios y conocimiento normativo necesarios para la correcta prestación del servicio en materia de extranjería.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III. Que las partes desean formalizar por escrito las condiciones económicas, documentales y de colaboración aplicables al encargo.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IV. Que el presente documento se otorga sin perjuicio de la competencia exclusiva de la Administración para resolver solicitudes, recursos y autorizaciones.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todo ello, convienen en suscribir el presente contrato, con arreglo a las siguientes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CLÁUSULAS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PRIMERA. — Normativa aplicable y objeto del contrato.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presente contrato se regirá por el Código Civil, la Ley 39/2015, la Ley 29/1994 (LAU) en lo compatible y la normativa de extranjería y por lo expresamente pactado. Su objeto es facilitar alojamiento temporal declarable ante la Administración para fines de empadronamiento, arraigo o residencia.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SEGUNDA. — Partes, capacidad y representación.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Cada parte declara contar con capacidad legal y, en su caso, poderes bastantes para obligarse. La representación se acredita mediante {{DOCUMENTO_PODER_REPRESENTACION}}.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TERCERA. — Alcance del servicio o prestación.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prestador asumirá las obligaciones descritas en el Anexo I, incluyendo asesoramiento, preparación de formularios, seguimiento del expediente y comunicaciones con {{ORGANO_COMPETENTE}} cuando proceda.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CUARTA. — Duración y vigencia.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comenzará el {{FECHA_INICIO}} y tendrá duración de {{DURACION_CONTRATO}}, prorrogable por escrito por periodos de {{PERIODO_PRORROGA}} salvo denuncia con {{PREAVISO_DENUNCIA}} días de antelación.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QUINTA. — Honorarios y forma de pago.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honorarios se fijan en {{IMPORTE_HONORARIOS}} EUR, más IVA si procede. El pago se realizará mediante {{FORMA_PAGO}} en los hitos siguientes: {{HITOS_PAGO}}.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SEXTA. — Gastos, tasas y suplidos.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tasas oficiales, traducciones juradas, apostillas, certificados y desplazamientos serán por cuenta de {{RESPONSABLE_GASTOS}}, salvo pacto distinto: {{DETALLE_GASTOS}}.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SÉPTIMA. — Obligaciones del cliente o beneficiario.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cliente facilitará documentación veraz, completa y actualizada, responderá a requerimientos en plazo y comunicará cualquier cambio de domicilio, empleo o situación administrativa relevante para el trámite.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OCTAVA. — Obligaciones del prestador.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prestador actuará con diligencia profesional, informará del estado del expediente, custodiará la documentación con confidencialidad y no garantizará por sí solo la concesión de autorizaciones, visados o nacionalidad, dependientes de la Administración.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NOVENA. — Colaboración con la Administración.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partes reconocen que la resolución final corresponde a {{ORGANO_COMPETENTE}}. El prestador presentará escritos y documentación conforme a las instrucciones del cliente y a la normativa vigente.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DÉCIMA. — Confidencialidad y protección de datos.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conforme al RGPD y la LOPDGDD para la ejecución del contrato y cumplimiento de obligaciones legales. Cada parte responderá de los datos que gestione directamente.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UNDÉCIMA. — Propiedad de la documentación.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documentación aportada por el cliente permanecerá de su titularidad. Los informes, escritos y estrategias elaborados por el prestador podrán utilizarse exclusivamente para el encargo, salvo autorización expresa.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DUODÉCIMA. — Responsabilidad y limitación.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prestador no responderá de retrasos administrativos, cambios normativos, denegaciones basadas en causas ajenas a su actuación profesional o información inexacta facilitada por el cliente: {{LIMITES_RESPONSABILIDAD}}.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DECIMOTERCERA. — Resolución anticipada.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podrá resolverse por mutuo acuerdo, incumplimiento grave, imposibilidad sobrevenida o falta de pago tras requerimiento fehaciente de {{PLAZO_REQUERIMIENTO_PAGO}} días.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DECIMOCUARTA. — Comunicaciones.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Toda notificación se realizará por escrito a los domicilios o correos del encabezamiento, o mediante {{MEDIO_COMUNICACION_FEACIENTE}} con constancia de envío y recepción.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DECIMOQUINTA. — Jurisdicción y mediación.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controversias, las partes se someten a los Juzgados y Tribunales de {{CIUDAD_JURISDICCION}}, sin perjuicio de intentar solución amistosa o mediación previa.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DECIMOSEXTA. — Condiciones especiales.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Condiciones adicionales aplicables al encargo de extranjería: {{CONDICIONES_ESPECIALES}}. Anexo técnico vinculado: contrato-alojamiento-temporal-extranjero.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conformidad, firman el presente contrato por duplicado y a un solo efecto.</w:t>
      </w:r>
    </w:p>
    <w:p>
      <w:pPr>
        <w:spacing w:before="0" w:after="80"/>
      </w:pPr>
    </w:p>
    <w:p>
      <w:pPr>
        <w:spacing w:before="0" w:after="180"/>
      </w:pPr>
      <w:r>
        <w:rPr>
          <w:rFonts w:ascii="Calibri" w:hAnsi="Calibri"/>
          <w:sz w:val="22"/>
        </w:rPr>
        <w:t xml:space="preserve">LA PARTE CONTRATANTE                              EL PRESTADOR / COLABORADOR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DETALLE DEL ENCARGO Y DOCUMENTACIÓN (firmado por ambas partes)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Trámite u objeto específico: {{TRAMITE_OBJETO}}. Documentación inicial aportada: {{DOCUMENTACION_INICIAL}}. Hitos y plazos orientativos: {{HITOS_PLAZOS}}.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DATOS DEL EXPEDIENTE Y ORGANISMO COMPETENTE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expediente, si consta: {{NUMERO_EXPEDIENTE}}. Órgano competente: {{ORGANO_COMPETENTE}}. Provincia o demarcación: {{PROVINCIA_TRAMITE}}.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III — PODERES Y COMUNICACIONES ENTRE LAS PARTES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Poderes especiales otorgados para presentar escritos ante la Administración, si proceden: {{PODERES_ESPECIALES}}. Persona de contacto del prestador: {{CONTACTO_PRESTADOR}}. Persona de contacto del cliente: {{CONTACTO_CLIENTE}}.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Contrato de alojamiento temporal para extranjero</dc:title>
</cp:coreProperties>
</file>