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CONTRATO DE MANDATO PARA REPRESENTACIÓN JUDICIAL EN PROCEDIMIENTO DE DESAHUCIO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29/1994, de 24 de noviembre, de Arrendamientos Urbanos (LAU); Ley 12/2023, de 24 de mayo, por el derecho a la vivienda; Ley 1/2000, de 7 de enero, de Enjuiciamiento Civil (LEC), en procedimientos de desahucio por falta de pago o expiración del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D./Dña. {{NOMBRE_PARTE_A}}, con DNI/NIF {{DNI_PARTE_A}}, domicilio en {{DOMICILIO_PARTE_A}}, correo {{EMAIL_PARTE_A}} y teléfono {{TELEFONO_PARTE_A}}, en adelante «{{DENOMINACION_PARTE_A}}».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D./Dña. {{NOMBRE_PARTE_B}}, con DNI/NIF/NIE {{DNI_PARTE_B}}, domicilio en {{DOMICILIO_PARTE_B}}, correo {{EMAIL_PARTE_B}} y teléfono {{TELEFONO_PARTE_B}}, en adelante «{{DENOMINACION_PARTE_B}}».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se reconocen capacidad legal y, en su caso, representación suficiente,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el MANDANTE es titular de la acción derivada del contrato de arrendamiento de {{FECHA_CONTRATO}} sobre {{DIRECCION_INMUEBLE}}, con situación de morosidad o necesidad de recuperación de la posesión.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 el MANDATARIO es abogado/a colegiado/a n.º {{NUMERO_COLEGIADO}} del Colegio de {{COLEGIO_ABOGADOS}}, con experiencia en procedimientos de desahucio conforme a la LEC.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el MANDANTE desea conferir mandato con representación para la tramitación del procedimiento de desahucio por {{CAUSA_DESAHUCIO}} (falta de pago / expiración del plazo / ocupación sin título).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las partes formalizan por escrito el encargo, honorarios y facultades del mandatario.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convienen en suscribir el presente contrato con arreglo a las siguientes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Normativa aplicable.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mandato se regirá por el Código Civil (arts. 1709 ss.), la LEC (arts. 250.1.1.º y 250.1.2.º), la LAU y la Ley 12/2023. El mandatario actuará conforme a la deontología profesional.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Objeto del mandato.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MANDATARIO queda facultado para instar y seguir el procedimiento de desahucio o monitorio ante el Juzgado de {{PARTIDO_JUDICIAL}}, presentar demanda, allanamientos, recursos, ejecución y lanzamiento, en nombre del MANDANTE.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Documentación y colaboración del mandante.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MANDANTE entregará contrato, requerimientos, burofax, liquidación de deuda por importe de {{TOTAL_DEUDA}} EUR, recibos y documentación acreditativa. Responderá a requerimientos en plazo de {{PLAZO_COLABORACION}} días.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Honorarios y provisión de fondos.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Honorarios profesionales: {{IMPORTE_HONORARIOS}} EUR más IVA. Provisión inicial: {{PROVISION_FONDOS}} EUR. Éxito adicional, si se pacta: {{HONORARIOS_EXITO}} EUR. Gastos de procurador, tasas y burofax: {{GASTOS_SUPLIDOS}} EUR a cargo del MANDANTE.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Facultades especiales.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Queda expresamente autorizado para transigir hasta {{LIMITE_TRANSACCION}} EUR, desistir parcialmente, renunciar a plazos no perentorios, solicitar medidas cautelares y firmar avenencias, previa comunicación al MANDANTE cuando sea preceptivo.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Deberes del mandatario.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Informará del estado del procedimiento cada {{PERIODICIDAD_INFORMES}}. Custodiará la documentación con diligencia profesional. No garantiza el resultado favorable del litigio.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Duración y revocación.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mandato comienza el {{FECHA_INICIO}} y permanece vigente hasta la terminación del procedimiento o revocación expresa con {{PREAVISO_REVOCACION}} días de antelación, sin perjuicio de obligaciones devengadas.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Confidencialidad y protección de datos.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se tratarán conforme al RGPD exclusivamente para la defensa jurídica del MANDANTE.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Responsabilidad.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MANDATARIO responde de la culpa in vigilando e in eligendo conforme al Código Civil; no de actuaciones del juzgado ni de información inexacta del MANDANTE.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Comunicaciones.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Notificaciones a domicilios y correos del encabezamiento. Comunicaciones fehacientes: {{MEDIO_FEHACIENTE}}.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UNDÉCIMA. — Gastos de procurador.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su caso, el MANDANTE autoriza la designación de procurador/a: {{NOMBRE_PROCURADOR}}, con domicilio profesional en {{DOMICILIO_PROCURADOR}}.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DUODÉCIMA. — Subrogación y pago de honorarios.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honorarios se devengarán según {{CRITERIO_DEVENGO}} (presentación de demanda / sentencia firme / ejecución). El MANDANTE abonará en un plazo máximo de {{PLAZO_PAGO_HONORARIOS}} días desde la factura.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DECIMOTERCERA. — Exclusividad y colaboración con otros profesionales.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MANDANTE {{EXCLUSIVIDAD}} (confiere / no confiere) exclusividad. Podrá designar procurador y perito con conocimiento del MANDATARIO.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DECIMOCUARTA. — Fuerza mayor y causas ajenas.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No se responderá de retrasos por saturación judicial, huelgas de letrados o cambios normativos.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DECIMOQUINTA. — Mediación previa.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partes han intentado, en su caso, solución amistosa el {{FECHA_MEDIACION}} con resultado {{RESULTADO_MEDIACION}}.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DECIMOSEXTA. — Jurisdicción.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Controversias derivadas del contrato de mandato ante los Juzgados de {{CIUDAD_JURISDICCION}}.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DECIMOSÉPTIMA. — Condiciones especiales.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{{CONDICIONES_ESPECIALES}}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contrato por duplicado y a un solo efecto.</w:t>
      </w:r>
    </w:p>
    <w:p>
      <w:pPr>
        <w:spacing w:before="0" w:after="80"/>
      </w:pPr>
    </w:p>
    <w:p>
      <w:pPr>
        <w:spacing w:before="0" w:after="180"/>
      </w:pPr>
      <w:r>
        <w:rPr>
          <w:rFonts w:ascii="Calibri" w:hAnsi="Calibri"/>
          <w:sz w:val="22"/>
        </w:rPr>
        <w:t xml:space="preserve">LA PARTE A                                      LA PARTE B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DOCUMENTACIÓN VINCULADA (firmado por ambas partes)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{{DOCUMENTACION_ANEXO_I}}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DATOS COMPLEMENTARIOS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{{DATOS_ANEXO_II}}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III — CALENDARIO DE APLAZAMIENTO FIRMADO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{{CALENDARIO_APLAZAMIENTO}}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Contrato de mandato para representación judicial en desahucio</dc:title>
</cp:coreProperties>
</file>