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PARTICIÓN HEREDITARIA ENTRE COHEREDEROS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 {{DNI_PARTE_B}}, domicilio en {{DOMICILIO_PARTE_B}}, correo {{EMAIL_PARTE_B}},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declaran capacidad legal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han fallecido D./Dña. {{NOMBRE_CAUSANTE}} el {{FECHA_FALLECIMIENTO}}, dejando herencia regulada por {{TITULO_SUCESORIO}}.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los comparecientes son únicos herederos o legatarios con derecho a la cuota parte indicada en el Anexo I.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existe inventario aprobado con activo neto de {{SALDO_NETO}} EUR y pasivo de {{TOTAL_PASIVO}}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desean evitar litigio y formalizar partición amistosa conforme a los artículos 1067 y siguientes del Código Civil.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V. Que la partición se realiza sin perjuicio de la autoliquidación del ISD ante {{ORGANO_ISD}}.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Objeto.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Particionar la herencia adjudicando a cada partícipe los bienes y derechos del Anexo II.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Cuotas y adjudicaciones.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Cuotas: {{CUOTAS}}. Adjudicaciones detalladas en Anexo II con valoraciones de {{FECHA_VALORACION}}.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Compensaciones.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Quien reciba más de su cuota abonará {{IMPORTE_COMPENSACION}} EUR a {{BENEFICIARIO_COMPENSACION}} en {{PLAZO_COMPENSACION}}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Deudas y cargas.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Cada adjudicatario asume las cargas propias del bien adjudicado. Deudas comunes se pagan proporcionalmente.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Gastos e impuestos.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Gastos de notaría, registro y ISD: {{REPARTO_GASTOS}}. Plusvalía municipal: {{REPARTO_PLUSVALIA}}.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Garantía por vicios ocultos.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Responsabilidad por evicción y vicios conforme art. 1474 CC durante {{PLAZO_GARANTIA}} meses.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Albacea y contador.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da por cumplida la gestión del albacea {{NOMBRE_ALBACEA}} con aprobación de cuentas.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Inscripciones registrales.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Cada partícipe tramitará la suya con apoyo de {{RESPONSABLE_REGISTRO}}.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Confidencialidad.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patrimoniales confidenciales salvo obligación legal.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RGPD para ejecución del contrato.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escrito a domicilios del encabezamiento.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Juzgados de {{CIUDAD_JURISDICCION}}; intento de mediación previa.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Integridad.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Anexos I y II forman parte integrante.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Legados y usufructos.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respetan legados de {{LEGADOS}} y usufructo viudal de {{USUFRUCTO}} conforme al testamento del causante.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Seguros de vida.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Capital de riesgo de {{SEGUROS_VIDA}} EUR se reparte conforme designación beneficiaria y pacto hereditario acordado.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Impugnación.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renuncian a impugnar la partición salvo vicios de consentimiento o error esencial en valoraciones patrimoniales.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DECIMOSÉPTIMA. — Elevación a público.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Convienen elevar el contrato a escritura pública ante {{NOTARIO_ELEVACION}} en plazo de {{PLAZO_ELEVACION}} días para inscripción registral.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partición hereditaria entre coherederos</dc:title>
</cp:coreProperties>
</file>