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REFORMA INTEGRAL DE VIVIENDA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legal, licencias y seguros exigibles en su caso,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PROMOTOR es propietario del inmueble sito en {{DIRECCION_INMUEBLE}}, con referencia catastral {{REFERENCIA_CATASTRAL}}.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CONTRATISTA declara ser empresa constructora o autónomo especializado, con seguro de responsabilidad civil de {{IMPORTE_RC}} EUR y alta en la Seguridad Social.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las partes han acordado la ejecución de la reforma descrita en la memoria y presupuesto del Anexo I, por importe de {{IMPORTE_OBRA}}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 obra se ejecutará conforme al Código Civil (contrato de arrendamiento de obra), a la LOE en lo aplicable y al CTE vigente.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existe licencia municipal {{NUMERO_LICENCIA}} / comunicación previa {{COMUNICACION_PREVIA}} y plan de seguridad y salud conforme al RD 1627/1997.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 y alcance.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Ejecución de reforma integral: {{DESCRIPCION_OBRA}}. Unidades de obra, mediciones y precios unitarios en Anexo I. No incluye: {{PARTIDAS_EXCLUIDAS}}.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Precio y forma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Precio cerrado / revisable: {{MODALIDAD_PRECIO}}. Total {{IMPORTE_OBRA}} EUR más IVA. Pagos: {{HITOS_PAGO}}. Retención de garantía: {{RETENCION_GARANTIA}} % hasta recepción.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Plazo de ejecución.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Duración estimada: {{PLAZO_EJECUCION}} días naturales desde {{FECHA_INICIO}}. Penalización por retraso imputable: {{PENALIZACION_DIA}} EUR/día con tope del {{TOPE_PENALIZACION}} %.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Obligaciones del contratista.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Aportar medios, personal cualificado, PRL, limpieza diaria, protección de zonas comunes y cumplimiento del plan de residuos. Coordinador de seguridad: {{NOMBRE_COORDINADOR}}.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Obligaciones del promotor.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acceso, suministros provisionales, decisiones sobre partidas opcionales en {{PLAZO_DECISIONES}} días y pagos en plazo.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Modificaciones y extras.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Partidas extra solo por orden escrita del promotor. Valoración conforme a precios unitarios o nuevo presupuesto firmado.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Materiales y calidades.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Marcas y modelos según Anexo I. Sustitución por equivalente requiere aprobación escrita. Muestras en obra: {{MUESTRAS_OBRA}}.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Subcontratación.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Permitida para {{SUBCONTRATOS_PERMITIDOS}} con responsabilidad solidaria del contratista principal.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Seguros y garantías.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RC de {{IMPORTE_RC}} EUR. Garantía de materiales y mano de obra: {{PLAZO_GARANTIA}} meses desde recepción conforme art. 1591 CC y LOE.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Recepción y liquidación.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Acta de recepción con reservas posibles. Lista de remate en {{PLAZO_REMATE}} días. Retención liberada tras remate y ausencia de vicios aparentes.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Resolución e incumplimiento.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Resolución por incumplimiento grave tras requerimiento de {{PLAZO_REQUERIMIENTO}} días. Indemnización según perjuicios acreditados.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Confidencialidad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inmueble y propietario confidenciales. RGPD para gestión contractual.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escrito a domicilios del encabezamiento y correo: {{EMAIL_OBRA}}.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Subsanación de vicios.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contratista subsanará defectos de ejecución en {{PLAZO_SUBSANACION}} días desde notificación.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Mediación y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Intento de mediación conforme Ley 5/2012. Juzgados de 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Régimen de residuos y licencias.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Gestión RCD conforme RD 105/2008. Licencias y tasas municipales a cargo de {{CARGO_LICENCIAS}}.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Integridad.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Anexos I y II forman parte integrante del contrato.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MEMORIA, MEDICIONES Y PRESUPUESTO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PLANNING, PLAN DE SEGURIDAD Y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reforma integral de vivienda</dc:title>
</cp:coreProperties>
</file>