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DE ABOGADO ESPECIALISTA EN DESAHUCIOS Y ARRENDAMIENTOS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Currículum profesional editable para servicios jurídicos, administración de fincas, mediación o gestión de morosidad en arrendamientos urbanos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{{TITULO_PROFESIONAL}}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DNI/NIF: {{DOCUMENTO_IDENTIDAD}} | Teléfono: {{TELEFONO}} | Correo: {{EMAIL}} | Ciudad: {{CIUDAD}}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Colegiado n.º {{NUMERO_COLEGIADO}} (si procede) | Carnet profesional: {{CARNET_PROFESIONAL}}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PERFIL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Abogado/a con práctica continuada en procedimientos de desahucio por falta de pago y expiración de plazo, defensa de arrendadores y arrendatarios, y negociación extrajudicial conforme a LAU, Ley 12/2023 y LEC.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EXPERIENCIA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{{PERIODO_1}} — {{PUESTO_1}} | {{EMPRESA_1}} | {{CIUDAD_1}}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{{FUNCION_1C}}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{{PERIODO_2}} — {{PUESTO_2}} | {{EMPRESA_2}} | {{CIUDAD_2}}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{{FUNCION_2B}}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{{PERIODO_3}} — {{PUESTO_3}} | {{EMPRESA_3}} | {{CIUDAD_3}}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{{FUNCION_3A}}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{{FUNCION_3B}}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{{TITULACION_1}} — {{CENTRO_1}} — {{ANO_1}}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{{TITULACION_2}} — {{CENTRO_2}} — {{ANO_2}}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COMPETENCIAS CLAVE EN DESAHUCIOS Y ARRENDAMIENTOS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Y SOFTWARE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PROCEDIMIENTOS Y MATERIAS: desahucios por impago (art. 250.1.1.º LEC), desahucios por expiración (art. 250.1.2.º LEC), monitorios, medidas cautelares, ejecuciones y lanzamientos. Experiencia en {{NUMERO_PROCEDIMIENTOS}} procedimientos en {{COMUNIDAD_AUTONOMA}}.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 PROFESIONALES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de abogado en desahucios y arrendamientos</dc:title>
</cp:coreProperties>
</file>