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CURRÍCULUM VITAE DE ABOGADO ESPECIALISTA EN HERENCIAS Y SUCESIONES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Currículum profesional editable para tramitación de herencias, sucesiones y planificación patrimonial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{{NOMBRE_COMPLETO}}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{{TITULO_PROFESIONAL}}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DNI/NIF: {{DOCUMENTO_IDENTIDAD}} | Teléfono: {{TELEFONO}} | Correo: {{EMAIL}} | Ciudad: {{CIUDAD}}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Colegiado n.º {{NUMERO_COLEGIADO}} | Especialidad: {{ESPECIALIDAD}}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PERFIL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Abogado/a con práctica en testamentos, sucesión intestada, partición, ISD autonómico, impugnación de testamentos y defensa de legítimas conforme al Código Civil.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EXPERIENCIA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{{PERIODO_1}} — {{PUESTO_1}} | {{EMPRESA_1}} | {{CIUDAD_1}}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{{FUNCION_1C}}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{{PERIODO_2}} — {{PUESTO_2}} | {{EMPRESA_2}} | {{CIUDAD_2}}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{{PERIODO_3}} — {{PUESTO_3}} | {{EMPRESA_3}} | {{CIUDAD_3}}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{{FUNCION_3B}}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ACADÉMICA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{{TITULACION_1}} — {{CENTRO_1}} — {{ANO_1}}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{{TITULACION_2}} — {{CENTRO_2}} — {{ANO_2}}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COMPLEMENTARIA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{{CURSO_3}}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COMPETENCIAS EN SUCESIONES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{{COMPETENCIA_4}}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HERRAMIENTAS Y SOFTWARE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{{HERRAMIENTA_2}}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IDIOMAS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{{IDIOMA_1}} — {{NIVEL_1}}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{{IDIOMA_2}} — {{NIVEL_2}}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MATERIAS: aceptación y renuncia, beneficio de inventario, pactos sucesorios, usufructo viudal, legítima (art. 806 CC), acción de petición de herencia.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REFERENCIAS PROFESIONALES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{{REFERENCIAS}}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Currículum vitae de abogado en herencias y sucesiones</dc:title>
</cp:coreProperties>
</file>