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DE GESTOR DE COBRO DE MOROSIDAD EN ALQUILER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Currículum profesional editable para servicios jurídicos, administración de fincas, mediación o gestión de morosidad en arrendamientos urbanos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{{TITULO_PROFESIONAL}}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DNI/NIF: {{DOCUMENTO_IDENTIDAD}} | Teléfono: {{TELEFONO}} | Correo: {{EMAIL}} | Ciudad: {{CIUDAD}}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Colegiado n.º {{NUMERO_COLEGIADO}} (si procede) | Carnet profesional: {{CARNET_PROFESIONAL}}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PERFIL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Profesional de gestión de cobro extrajudicial especializado en recuperación de rentas impagadas, planes de pago y prevención de procedimientos de desahucio para propietarios e inmobiliarias.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EXPERIENCIA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{{PERIODO_1}} — {{PUESTO_1}} | {{EMPRESA_1}} | {{CIUDAD_1}}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{{FUNCION_1C}}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{{PERIODO_2}} — {{PUESTO_2}} | {{EMPRESA_2}} | {{CIUDAD_2}}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{{PERIODO_3}} — {{PUESTO_3}} | {{EMPRESA_3}} | {{CIUDAD_3}}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{{FUNCION_3B}}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{{TITULACION_1}} — {{CENTRO_1}} — {{ANO_1}}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{{TITULACION_2}} — {{CENTRO_2}} — {{ANO_2}}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COMPLEMENTARIA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COMPETENCIAS CLAVE EN DESAHUCIOS Y ARRENDAMIENTOS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HERRAMIENTAS Y SOFTWARE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RESULTADOS ORIENTATIVOS: recuperación media del {{PORCENTAJE_RECUPERACION}} % en fase amistosa. Cartera máxima gestionada: {{IMPORTE_CARTERA_MAX}} EUR anuales en deuda de alquiler.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 PROFESIONALES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de gestor de cobro de morosidad en alquiler</dc:title>
</cp:coreProperties>
</file>