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PROPUESTA DE GESTIÓN INTEGRAL DE RECUPERACIÓN DE DEUDA DE ARRENDAMIENTO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Ley 29/1994, de 24 de noviembre, de Arrendamientos Urbanos (LAU); Ley 12/2023, de 24 de mayo, por el derecho a la vivienda; Ley 1/2000, de 7 de enero, de Enjuiciamiento Civil (LEC), en procedimientos de desahucio por falta de pago o expiración del plazo.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PRESENTACIÓN DE LA PROPUESTA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Proponente: {{NOMBRE_PROPONENTE}}, NIF/CIF {{NIF_PROPONENTE}}, domicilio {{DOMICILIO_PROPONENTE}}, correo {{EMAIL_PROPONENTE}}, teléfono {{TELEFONO_PROPONENTE}}.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Destinatario: D./Dña. {{NOMBRE_DESTINATARIO}}, DNI/NIF {{DOCUMENTO_DESTINATARIO}}, domicilio {{DOMICILIO_DESTINATARIO}}.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OBJETO DE LA PROPUESTA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Servicio profesional de gestión extrajudicial y judicial de morosidad en alquiler para propietarios y administradores de fincas.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CONTEXTO Y ALCANCE DETALLADO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Expediente o referencia interna: {{REFERENCIA_EXPEDIENTE}}. Inmueble afectado: {{DIRECCION_INMUEBLE}}. Situación actual: {{SITUACION_ACTUAL}} (morosidad / procedimiento judicial / fase extrajudicial).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Alcance profesional: {{ALCANCE_DETALLADO}}. Quedan incluidos: {{SERVICIOS_INCLUIDOS}}. Quedan excluidos salvo pacto escrito: {{SERVICIOS_EXCLUIDOS}}.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CONDICIONES ECONÓMICAS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Cuota de gestión mensual: {{CUOTA_MENSUAL}} EUR. Éxito sobre rentas recuperadas: {{PORCENTAJE_EXITO}} %. Gastos de burofax y notificaciones: {{GASTOS_GESTION}} EUR. Total estimado primer año: {{TOTAL_ESTIMADO}} EUR.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SERVICIOS INCLUIDOS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Requerimientos, negociación, coordinación con abogado, seguimiento de plan de pagos y actualización mensual al cliente.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PLAZOS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Inicio: {{FECHA_INICIO}}. Informe mensual antes del día {{DIA_INFORME}}. Objetivo de regularización extrajudicial: {{PLAZO_OBJETIVO}} días.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INDICADORES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KPIs: {{INDICADORES_KPI}} (deuda recuperada, plazos cumplidos, acuerdos firmados).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RESCISIÓN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Preaviso de {{PREAVISO_RESCISION}} días por cualquier parte.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OBLIGACIONES DEL CLIENTE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cliente aportará documentación veraz, responderá requerimientos en plazo y facilitará poder o representación si son necesarios.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CONFIDENCIALIDAD Y PROTECCIÓN DE DATOS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Los datos personales se tratarán conforme al RGPD exclusivamente para preparar y ejecutar el encargo profesional.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LIMITACIONES DEL RESULTADO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proponente no garantiza el resultado judicial ni los plazos del juzgado; se compromete a actuar con diligencia profesional.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VALIDEZ Y ACEPTACIÓN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Validez de la oferta hasta {{FECHA_VALIDEZ}}. Aceptación mediante firma o comunicación fehaciente a {{EMAIL_PROPONENTE}}.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PRÓXIMOS PASOS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{{PROXIMOS_PASOS}}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FIRMAS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EL/LA PROPONENTE                                    ACEPTACIÓN DEL/LA CLIENTE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>Fdo.: _________________________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ANEXO I — DESGLOSE O CALENDARIO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{{ANEXO_DESGLOSE}}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Propuesta de gestión de recuperación de deuda de arrendamiento</dc:title>
</cp:coreProperties>
</file>