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GESTORÍA INTEGRAL DE HERENCIA Y ISD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Gestión administrativa completa de la sucesión ante Registro, notaría y tributación autonómica.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{{NOMBRE_CAUSANTE}}, fallecido/a el {{FECHA_FALLECIMIENTO}}. Expediente interno: {{REFERENCIA_EXPEDIENTE}}. Comunidad Autónoma competente ISD: {{COMUNIDAD_AUTONOMA}}.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Alcance: {{ALCANCE_DETALLADO}}. Incluye: {{SERVICIOS_INCLUIDOS}}. Excluye: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gestoría: {{IMPORTE_HONORARIOS}} EUR. Tasas estimadas: {{IMPORTE_TASAS}} EUR. Notaría y registro: {{IMPORTE_NOTARIA}} EUR.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SERVICIOS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Certificados, modelo 650/651 ISD, plusvalía, domiciliación de impuestos, coordinación escritura de partición.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Inicio: {{FECHA_INICIO}}. Entrega dossier final: {{FECHA_ENTREGA}}.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DE PAGO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Anticipo del {{PORCENTAJE_ANTICIPO}} % a la firma. Liquidación final contra entrega de escrituras y justificantes de tasas.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EXCLUSIONES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incluye honorarios de abogado, litigios contenciosos ni tasaciones periciales salvo encargo expreso.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GARANTÍAS Y SEGUROS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Gestoría con póliza RC de {{IMPORTE_RC}} EUR. NIF/CIF {{NIF_GESTORIA}} inscrito en {{REGISTRO_GESTORIA}}.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Aportar certificados, testamento, inventario, DNI de herederos y datos fiscales en plazo de {{PLAZO_DOCUMENTACION}}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conforme al RGPD exclusivamente para la prestación del encargo sucesorio.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hasta {{FECHA_VALIDEZ}}. Aceptación por firma o correo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Y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gestoría integral de herencia e ISD</dc:title>
</cp:coreProperties>
</file>