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RENOVACIÓN DE AUTORIZACIÓN DE RESIDENCIA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PRESENTACIÓN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Proponente: {{NOMBRE_PROPONENTE}}, NIF/CIF {{NIF_PROPONENTE}}, domicilio {{DOMICILIO_PROPONENTE}}, correo {{EMAIL_PROPONENTE}}, teléfono {{TELEFONO_PROPONENTE}}.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Destinatario: D./Dña. {{NOMBRE_DESTINATARIO}}, NIE/Pasaporte {{DOCUMENTO_DESTINATARIO}}, domicilio {{DOMICILIO_DESTINATARIO}}.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Gestionar la renovación de autorización de residencia temporal o de larga duración antes de su caducidad.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ALCANCE DETALLADO DEL SERVICIO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propuesta comprende las siguientes actuaciones profesionales: {{ALCANCE_SERVICIO}}. Quedan expresamente incluidas: {{SERVICIOS_INCLUIDOS}}. Quedan excluidas, salvo pacto escrito: {{SERVICIOS_EXCLUIDOS}}.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Y FASES DEL TRÁMITE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Fase 1 — Estudio y estrategia: {{FASE_1}}. Fase 2 — Preparación y presentación: {{FASE_2}}. Fase 3 — Seguimiento y recursos, si procede: {{FASE_3}}.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PLAZOS ORIENTATIVOS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Plazo estimado de preparación del expediente: {{PLAZO_PREPARACION}}. Plazo orientativo de resolución administrativa: {{PLAZO_RESOLUCION_ADMIN}}. Estos plazos no vinculan a la Administración.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y tasas estimadas para renovación de residencia con revisión documental previa.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Honorarios profesionales: {{IMPORTE_HONORARIOS}} EUR. Tasas oficiales estimadas: {{IMPORTE_TASAS}} EUR. Traducciones, apostillas y otros suplidos: {{IMPORTE_SUPLIDOS}} EUR. TOTAL ESTIMADO: {{IMPORTE_TOTAL}} EUR.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Forma de pago: {{FORMA_PAGO}} en los hitos {{HITOS_PAGO}}. Revisión de precio si cambia la normativa o el alcance: {{REVISION_PRECIO}}.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OBLIGACIONES DEL CLIENTE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cliente aportará documentación veraz, responderá requerimientos en plazo, facilitará poderes o representación si son necesarios y comunicará cualquier cambio relevante en su situación personal, laboral o administrativa.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LIMITACIONES Y RESULTADO DEL TRÁMITE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proponente no garantiza el resultado favorable del expediente, dependiente del órgano competente {{ORGANO_COMPETENTE}}. Se compromete a actuar con diligencia profesional conforme a la normativa vigente.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CONFIDENCIALIDAD Y 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se tratarán conforme al RGPD y la LOPDGDD exclusivamente para la prestación del servicio y conservación del expediente profesional.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propuesta tendrá validez hasta el {{FECHA_VALIDEZ}}. La aceptación podrá formalizarse mediante firma de este documento o comunicación escrita a {{EMAIL_PROPONENTE}}.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Tras la aceptación, se firmará contrato de prestación de servicios, se abonará la provisión de fondos inicial y se iniciará la recopilación documental detallada en el Anexo I.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ESPECIALES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Condiciones particulares del encargo, exclusiones o supuestos de ampliación de honorarios: {{{CONDICIONES_ESPECIALES}}}.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CRONOGRAMA ORIENTATIVO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Calendario estimado de actuaciones: {{CRONOGRAMA_ORIENTATIVO}}.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PROPONENTE                                    ACEPTACIÓN DEL/LA CLIENTE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CHECKLIST DOCUMENTAL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Documentación necesaria según el trámite: {{CHECKLIST_DOCUMENTAL}}.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renovación de residencia para extranjeros</dc:title>
</cp:coreProperties>
</file>