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TRAMITACIÓN DE ARRAIGO Y RESIDENCIA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PRESENTACIÓN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Proponente: {{NOMBRE_PROPONENTE}}, NIF/CIF {{NIF_PROPONENTE}}, domicilio {{DOMICILIO_PROPONENTE}}, correo {{EMAIL_PROPONENTE}}, teléfono {{TELEFONO_PROPONENTE}}.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Destinatario: D./Dña. {{NOMBRE_DESTINATARIO}}, NIE/Pasaporte {{DOCUMENTO_DESTINATARIO}}, domicilio {{DOMICILIO_DESTINATARIO}}.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Asesorar y tramitar autorización de residencia por arraigo social, laboral, familiar o formación y retorno.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ALCANCE DETALLADO DEL SERVICIO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propuesta comprende las siguientes actuaciones profesionales: {{ALCANCE_SERVICIO}}. Quedan expresamente incluidas: {{SERVICIOS_INCLUIDOS}}. Quedan excluidas, salvo pacto escrito: {{SERVICIOS_EXCLUIDOS}}.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Y FASES DEL TRÁMITE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Fase 1 — Estudio y estrategia: {{FASE_1}}. Fase 2 — Preparación y presentación: {{FASE_2}}. Fase 3 — Seguimiento y recursos, si procede: {{FASE_3}}.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PLAZOS ORIENTATIVOS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Plazo estimado de preparación del expediente: {{PLAZO_PREPARACION}}. Plazo orientativo de resolución administrativa: {{PLAZO_RESOLUCION_ADMIN}}. Estos plazos no vinculan a la Administración.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Propuesta económica para estudio de modalidad de arraigo aplicable y presentación del expediente.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Honorarios profesionales: {{IMPORTE_HONORARIOS}} EUR. Tasas oficiales estimadas: {{IMPORTE_TASAS}} EUR. Traducciones, apostillas y otros suplidos: {{IMPORTE_SUPLIDOS}} EUR. TOTAL ESTIMADO: {{IMPORTE_TOTAL}}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Forma de pago: {{FORMA_PAGO}} en los hitos {{HITOS_PAGO}}. Revisión de precio si cambia la normativa o el alcance: {{REVISION_PRECIO}}.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DEL CLIENTE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cliente aportará documentación veraz, responderá requerimientos en plazo, facilitará poderes o representación si son necesarios y comunicará cualquier cambio relevante en su situación personal, laboral o administrativa.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LIMITACIONES Y RESULTADO DEL TRÁMITE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proponente no garantiza el resultado favorable del expediente, dependiente del órgano competente {{ORGANO_COMPETENTE}}. Se compromete a actuar con diligencia profesional conforme a la normativa vigente.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CONFIDENCIALIDAD Y 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conforme al RGPD y la LOPDGDD exclusivamente para la prestación del servicio y conservación del expediente profesional.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propuesta tendrá validez hasta el {{FECHA_VALIDEZ}}. La aceptación podrá formalizarse mediante firma de este documento o comunicación escrita a {{EMAIL_PROPONENTE}}.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Tras la aceptación, se firmará contrato de prestación de servicios, se abonará la provisión de fondos inicial y se iniciará la recopilación documental detallada en el Anexo I.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ESPECIALES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Condiciones particulares del encargo, exclusiones o supuestos de ampliación de honorarios: {{{CONDICIONES_ESPECIALES}}}.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CRONOGRAMA ORIENTATIVO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Calendario estimado de actuaciones: {{CRONOGRAMA_ORIENTATIVO}}.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PROPONENTE                                    ACEPTACIÓN DEL/LA CLIENTE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CHECKLIST DOCUMENTAL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Documentación necesaria según el trámite: {{CHECKLIST_DOCUMENTAL}}.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tramitación de arraigo y residencia</dc:title>
</cp:coreProperties>
</file>